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/>
      </w:pPr>
    </w:p>
    <w:p>
      <w:pPr>
        <w:spacing w:after="80"/>
      </w:pPr>
      <w:r>
        <w:t>Odhadované náklady související s realizací návrhu:</w:t>
      </w:r>
    </w:p>
    <w:tbl>
      <w:tblPr>
        <w:tblStyle w:val="15"/>
        <w:tblW w:w="14576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6941"/>
        <w:gridCol w:w="1276"/>
        <w:gridCol w:w="1843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after="80"/>
            </w:pPr>
            <w:r>
              <w:t>Položka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after="80"/>
            </w:pPr>
            <w:r>
              <w:t>Cena za kus v Kč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80"/>
            </w:pPr>
            <w:r>
              <w:t>Cena celkem v Kč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7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 w:ascii="Desyrel" w:hAnsi="Desyrel" w:eastAsia="Desyrel" w:cs="Desyrel"/>
                <w:color w:val="548DD4"/>
                <w:sz w:val="28"/>
                <w:szCs w:val="28"/>
                <w:lang w:val="cs-CZ"/>
              </w:rPr>
            </w:pPr>
            <w:r>
              <w:rPr>
                <w:rFonts w:hint="default"/>
                <w:lang w:val="cs-CZ"/>
              </w:rPr>
              <w:t>Nerezový plech 100x200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Nerezový plech 2 mm 100x200 cm, nutný ke stočení ozvučnice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7500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80"/>
              <w:rPr>
                <w:rFonts w:hint="default" w:ascii="Calibri" w:hAnsi="Calibri" w:eastAsia="Calibri" w:cs="Calibri"/>
                <w:sz w:val="22"/>
                <w:szCs w:val="22"/>
                <w:lang w:val="cs-CZ" w:eastAsia="cs-CZ" w:bidi="ar-SA"/>
              </w:rPr>
            </w:pPr>
            <w:r>
              <w:rPr>
                <w:rFonts w:hint="default"/>
                <w:lang w:val="cs-CZ"/>
              </w:rPr>
              <w:t>Nerezová trubka 70x2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80"/>
              <w:rPr>
                <w:rFonts w:hint="default" w:ascii="Calibri" w:hAnsi="Calibri" w:eastAsia="Calibri" w:cs="Calibri"/>
                <w:sz w:val="22"/>
                <w:szCs w:val="22"/>
                <w:lang w:val="cs-CZ" w:eastAsia="cs-CZ" w:bidi="ar-SA"/>
              </w:rPr>
            </w:pPr>
            <w:r>
              <w:rPr>
                <w:rFonts w:hint="default"/>
                <w:lang w:val="cs-CZ"/>
              </w:rPr>
              <w:t>Tubus těla zvukovodu, délka 6m v MJ, ceny dávám s rezervou, liší se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  <w:r>
              <w:rPr>
                <w:rFonts w:hint="default"/>
                <w:lang w:val="cs-CZ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  <w:r>
              <w:rPr>
                <w:rFonts w:hint="default"/>
                <w:lang w:val="cs-CZ"/>
              </w:rPr>
              <w:t>4000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8 000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Nerezové koleno 70x2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Koleno nutné na zahnutí zvukovodu směrem na most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500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Doprava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Doprava dlouhých trubek a plechu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max 3 000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Řezání vodním paprskem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Individuální, ale dle zkušenosti tipuji tak do 5000 ,-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max 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Gravírování nápisu laserem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Individuální, tipuji tak do 3000 ,-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max 3 000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Svařování komponentů tigem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Všechny místa je nutné svařit, plech naohýbat do správně kónického tvaru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 xml:space="preserve">Přeprava nadrozměru 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Finální výsledek bude mít kolem 12 m, nutno odvézt na odtahovce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3 000 - 5 000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Spojovací materiál, úchyty, chemické kotvy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Materiál potřebný k instalaci na mostě. Tzn. Objímky, chemické kotvy, šrouby, vrtáky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max 3 000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Manipulace a montáž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jc w:val="both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Dle zhotovující firmy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80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max 20 000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80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70 000 ,-</w:t>
            </w:r>
            <w:bookmarkStart w:id="0" w:name="_GoBack"/>
            <w:bookmarkEnd w:id="0"/>
          </w:p>
        </w:tc>
      </w:tr>
    </w:tbl>
    <w:p>
      <w:pPr>
        <w:tabs>
          <w:tab w:val="left" w:pos="5103"/>
        </w:tabs>
        <w:spacing w:after="80"/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276" w:header="708" w:footer="34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Desyre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mbria" w:hAnsi="Cambria" w:eastAsia="Cambria" w:cs="Cambria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l="0" t="0" r="0" b="0"/>
              <wp:wrapNone/>
              <wp:docPr id="1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433" y="3556163"/>
                        <a:ext cx="445135" cy="44767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vál 1" o:spid="_x0000_s1026" o:spt="3" type="#_x0000_t3" style="position:absolute;left:0pt;margin-left:399pt;margin-top:541pt;height:36pt;width:35.8pt;z-index:-251657216;v-text-anchor:middle;mso-width-relative:page;mso-height-relative:page;" fillcolor="#365F91" filled="t" stroked="f" coordsize="21600,21600" o:gfxdata="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1U2SzaAAAADQEAAA8AAAAAAAAAAQAgAAAAIgAAAGRycy9kb3du&#10;cmV2LnhtbFBLAQIUABQAAAAIAIdO4kCH1oud/QEAAPcDAAAOAAAAAAAAAAEAIAAAACkBAABkcnMv&#10;ZTJvRG9jLnhtbFBLBQYAAAAABgAGAFkBAACYBQAAAAA=&#10;">
              <v:fill on="t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rPr>
        <w:rFonts w:ascii="Cambria" w:hAnsi="Cambria"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  <w:rPr>
        <w:color w:val="000000"/>
      </w:rPr>
    </w:pPr>
    <w:r>
      <w:rPr>
        <w:color w:val="000000"/>
      </w:rPr>
      <w:drawing>
        <wp:inline distT="0" distB="0" distL="0" distR="0">
          <wp:extent cx="1824990" cy="608330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2"/>
    <w:rsid w:val="0007337C"/>
    <w:rsid w:val="001750EE"/>
    <w:rsid w:val="002271E2"/>
    <w:rsid w:val="391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Záhlaví Char"/>
    <w:basedOn w:val="8"/>
    <w:link w:val="11"/>
    <w:uiPriority w:val="99"/>
  </w:style>
  <w:style w:type="character" w:customStyle="1" w:styleId="17">
    <w:name w:val="Zápatí Ch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268</Characters>
  <Lines>2</Lines>
  <Paragraphs>1</Paragraphs>
  <TotalTime>10</TotalTime>
  <ScaleCrop>false</ScaleCrop>
  <LinksUpToDate>false</LinksUpToDate>
  <CharactersWithSpaces>312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2023-04-24T10:12:00Z</dcterms:created>
  <dc:creator>ktmac</dc:creator>
  <cp:lastModifiedBy>Kapitan Kapitan</cp:lastModifiedBy>
  <dcterms:modified xsi:type="dcterms:W3CDTF">2023-05-20T15:36:08Z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3D7B640E598E4EFAAB8564CD10587137</vt:lpwstr>
  </property>
</Properties>
</file>